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C87F6B" w14:textId="77777777" w:rsidR="00555CD8" w:rsidRPr="00B417F6" w:rsidRDefault="00F20BCF" w:rsidP="001F0CAD">
      <w:pPr>
        <w:spacing w:after="120"/>
        <w:jc w:val="center"/>
        <w:rPr>
          <w:rFonts w:ascii="Red Hat Display" w:hAnsi="Red Hat Display" w:cs="Red Hat Display"/>
        </w:rPr>
      </w:pPr>
      <w:r w:rsidRPr="00B417F6">
        <w:rPr>
          <w:rFonts w:ascii="Red Hat Display" w:hAnsi="Red Hat Display" w:cs="Red Hat Display"/>
          <w:b/>
          <w:sz w:val="28"/>
          <w:szCs w:val="28"/>
        </w:rPr>
        <w:t xml:space="preserve">Curriculum Amplification Guide: Key Language Use (KLU) Alignment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50"/>
        <w:gridCol w:w="3963"/>
        <w:gridCol w:w="4143"/>
        <w:gridCol w:w="4144"/>
      </w:tblGrid>
      <w:tr w:rsidR="00555CD8" w:rsidRPr="00B417F6" w14:paraId="77C87F70" w14:textId="77777777" w:rsidTr="00C72D3D">
        <w:trPr>
          <w:trHeight w:val="288"/>
        </w:trPr>
        <w:tc>
          <w:tcPr>
            <w:tcW w:w="21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6C" w14:textId="77777777" w:rsidR="00555CD8" w:rsidRPr="00B417F6" w:rsidRDefault="00F20BCF" w:rsidP="0040204D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  <w:b/>
              </w:rPr>
              <w:t>Criteria</w:t>
            </w:r>
          </w:p>
        </w:tc>
        <w:tc>
          <w:tcPr>
            <w:tcW w:w="396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6D" w14:textId="77777777" w:rsidR="00555CD8" w:rsidRPr="00B417F6" w:rsidRDefault="00F20BCF" w:rsidP="0040204D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  <w:b/>
              </w:rPr>
              <w:t>Steps to Engaging KLU Alignment</w:t>
            </w:r>
          </w:p>
        </w:tc>
        <w:tc>
          <w:tcPr>
            <w:tcW w:w="41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6E" w14:textId="77777777" w:rsidR="00555CD8" w:rsidRPr="00B417F6" w:rsidRDefault="00F20BCF" w:rsidP="0040204D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  <w:b/>
              </w:rPr>
              <w:t>Materials to Engage in KLU Alignment</w:t>
            </w:r>
          </w:p>
        </w:tc>
        <w:tc>
          <w:tcPr>
            <w:tcW w:w="41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6F" w14:textId="77777777" w:rsidR="00555CD8" w:rsidRPr="00B417F6" w:rsidRDefault="00F20BCF" w:rsidP="0040204D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  <w:b/>
              </w:rPr>
              <w:t>Guiding Questions</w:t>
            </w:r>
          </w:p>
        </w:tc>
      </w:tr>
      <w:tr w:rsidR="00555CD8" w:rsidRPr="00B417F6" w14:paraId="77C87F80" w14:textId="77777777" w:rsidTr="00C72D3D">
        <w:trPr>
          <w:trHeight w:val="420"/>
        </w:trPr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71" w14:textId="77777777" w:rsidR="00555CD8" w:rsidRPr="00B417F6" w:rsidRDefault="00F20BCF" w:rsidP="00966A2E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  <w:b/>
              </w:rPr>
              <w:t xml:space="preserve">Match: </w:t>
            </w:r>
          </w:p>
          <w:p w14:paraId="77C87F72" w14:textId="77777777" w:rsidR="00555CD8" w:rsidRPr="00B417F6" w:rsidRDefault="00F20BCF" w:rsidP="00966A2E">
            <w:pPr>
              <w:spacing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Identify the most prominent Key Language Uses related to the units’ academic content standards.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456F" w14:textId="2D9DAD44" w:rsidR="00F15023" w:rsidRDefault="00F15023" w:rsidP="00966A2E">
            <w:pPr>
              <w:widowControl w:val="0"/>
              <w:numPr>
                <w:ilvl w:val="0"/>
                <w:numId w:val="2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>
              <w:rPr>
                <w:rFonts w:ascii="Red Hat Text" w:hAnsi="Red Hat Text" w:cs="Red Hat Text"/>
              </w:rPr>
              <w:t xml:space="preserve">Identify the content standards, </w:t>
            </w:r>
            <w:r w:rsidR="00A17B49">
              <w:rPr>
                <w:rFonts w:ascii="Red Hat Text" w:hAnsi="Red Hat Text" w:cs="Red Hat Text"/>
              </w:rPr>
              <w:t>recurring and major expressive tasks and the summative assessments for each unit.</w:t>
            </w:r>
          </w:p>
          <w:p w14:paraId="77C87F74" w14:textId="30B64398" w:rsidR="00555CD8" w:rsidRPr="00B417F6" w:rsidRDefault="00F20BCF" w:rsidP="00815D12">
            <w:pPr>
              <w:widowControl w:val="0"/>
              <w:numPr>
                <w:ilvl w:val="0"/>
                <w:numId w:val="2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Identify the most prominent Key Language Use for each unit. 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75" w14:textId="27AB86C1" w:rsidR="00555CD8" w:rsidRPr="00B417F6" w:rsidRDefault="00F20BCF" w:rsidP="00966A2E">
            <w:pPr>
              <w:widowControl w:val="0"/>
              <w:spacing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Notice how students are expected to use language throughout </w:t>
            </w:r>
            <w:r w:rsidR="00F15023">
              <w:rPr>
                <w:rFonts w:ascii="Red Hat Text" w:hAnsi="Red Hat Text" w:cs="Red Hat Text"/>
              </w:rPr>
              <w:t>a sample set of</w:t>
            </w:r>
            <w:r w:rsidR="00F15023" w:rsidRPr="00B417F6">
              <w:rPr>
                <w:rFonts w:ascii="Red Hat Text" w:hAnsi="Red Hat Text" w:cs="Red Hat Text"/>
              </w:rPr>
              <w:t xml:space="preserve"> </w:t>
            </w:r>
            <w:r w:rsidRPr="00B417F6">
              <w:rPr>
                <w:rFonts w:ascii="Red Hat Text" w:hAnsi="Red Hat Text" w:cs="Red Hat Text"/>
              </w:rPr>
              <w:t>curriculum materials with a focus on:</w:t>
            </w:r>
          </w:p>
          <w:p w14:paraId="77C87F76" w14:textId="77777777" w:rsidR="00555CD8" w:rsidRPr="001E597B" w:rsidRDefault="00F20BCF" w:rsidP="00966A2E">
            <w:pPr>
              <w:widowControl w:val="0"/>
              <w:numPr>
                <w:ilvl w:val="0"/>
                <w:numId w:val="8"/>
              </w:numPr>
              <w:spacing w:line="240" w:lineRule="auto"/>
              <w:ind w:left="583"/>
              <w:rPr>
                <w:rFonts w:ascii="Red Hat Text" w:hAnsi="Red Hat Text" w:cs="Red Hat Text"/>
                <w:bCs/>
              </w:rPr>
            </w:pPr>
            <w:r w:rsidRPr="001E597B">
              <w:rPr>
                <w:rFonts w:ascii="Red Hat Text" w:hAnsi="Red Hat Text" w:cs="Red Hat Text"/>
                <w:bCs/>
              </w:rPr>
              <w:t>Content standards</w:t>
            </w:r>
          </w:p>
          <w:p w14:paraId="77C87F77" w14:textId="44B8EE75" w:rsidR="00555CD8" w:rsidRPr="001E597B" w:rsidRDefault="00F20BCF" w:rsidP="00966A2E">
            <w:pPr>
              <w:widowControl w:val="0"/>
              <w:numPr>
                <w:ilvl w:val="0"/>
                <w:numId w:val="8"/>
              </w:numPr>
              <w:spacing w:line="240" w:lineRule="auto"/>
              <w:ind w:left="583"/>
              <w:rPr>
                <w:rFonts w:ascii="Red Hat Text" w:hAnsi="Red Hat Text" w:cs="Red Hat Text"/>
                <w:bCs/>
              </w:rPr>
            </w:pPr>
            <w:r w:rsidRPr="001E597B">
              <w:rPr>
                <w:rFonts w:ascii="Red Hat Text" w:hAnsi="Red Hat Text" w:cs="Red Hat Text"/>
                <w:bCs/>
              </w:rPr>
              <w:t>Recurring</w:t>
            </w:r>
            <w:r w:rsidR="00F15023">
              <w:rPr>
                <w:rFonts w:ascii="Red Hat Text" w:hAnsi="Red Hat Text" w:cs="Red Hat Text"/>
                <w:bCs/>
              </w:rPr>
              <w:t xml:space="preserve"> and major</w:t>
            </w:r>
            <w:r w:rsidRPr="001E597B">
              <w:rPr>
                <w:rFonts w:ascii="Red Hat Text" w:hAnsi="Red Hat Text" w:cs="Red Hat Text"/>
                <w:bCs/>
              </w:rPr>
              <w:t xml:space="preserve"> expressive tasks</w:t>
            </w:r>
          </w:p>
          <w:p w14:paraId="77C87F7B" w14:textId="36132AAA" w:rsidR="00555CD8" w:rsidRPr="001F0CAD" w:rsidRDefault="00F20BCF" w:rsidP="00815D12">
            <w:pPr>
              <w:widowControl w:val="0"/>
              <w:numPr>
                <w:ilvl w:val="0"/>
                <w:numId w:val="8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1E597B">
              <w:rPr>
                <w:rFonts w:ascii="Red Hat Text" w:hAnsi="Red Hat Text" w:cs="Red Hat Text"/>
                <w:bCs/>
              </w:rPr>
              <w:t>Summative assessments</w:t>
            </w:r>
          </w:p>
        </w:tc>
        <w:tc>
          <w:tcPr>
            <w:tcW w:w="4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7D" w14:textId="39881583" w:rsidR="00555CD8" w:rsidRPr="00B417F6" w:rsidRDefault="00F20BCF" w:rsidP="00966A2E">
            <w:pPr>
              <w:spacing w:after="240"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What is the most prominent Key Language Use that the content standards of each unit reflect? </w:t>
            </w:r>
          </w:p>
          <w:p w14:paraId="77C87F7F" w14:textId="4BCC41B5" w:rsidR="00555CD8" w:rsidRPr="00B417F6" w:rsidRDefault="00F20BCF" w:rsidP="00966A2E">
            <w:pPr>
              <w:spacing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What </w:t>
            </w:r>
            <w:proofErr w:type="gramStart"/>
            <w:r w:rsidRPr="00B417F6">
              <w:rPr>
                <w:rFonts w:ascii="Red Hat Text" w:hAnsi="Red Hat Text" w:cs="Red Hat Text"/>
              </w:rPr>
              <w:t>is</w:t>
            </w:r>
            <w:proofErr w:type="gramEnd"/>
            <w:r w:rsidRPr="00B417F6">
              <w:rPr>
                <w:rFonts w:ascii="Red Hat Text" w:hAnsi="Red Hat Text" w:cs="Red Hat Text"/>
              </w:rPr>
              <w:t xml:space="preserve"> the overarching purpose of language use that students are expected to express in </w:t>
            </w:r>
            <w:r w:rsidR="00F15023">
              <w:rPr>
                <w:rFonts w:ascii="Red Hat Text" w:hAnsi="Red Hat Text" w:cs="Red Hat Text"/>
              </w:rPr>
              <w:t>each</w:t>
            </w:r>
            <w:r w:rsidRPr="00B417F6">
              <w:rPr>
                <w:rFonts w:ascii="Red Hat Text" w:hAnsi="Red Hat Text" w:cs="Red Hat Text"/>
              </w:rPr>
              <w:t xml:space="preserve"> unit?</w:t>
            </w:r>
          </w:p>
        </w:tc>
      </w:tr>
      <w:tr w:rsidR="00555CD8" w:rsidRPr="00B417F6" w14:paraId="77C87F90" w14:textId="77777777" w:rsidTr="00C72D3D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81" w14:textId="77777777" w:rsidR="00555CD8" w:rsidRPr="00B417F6" w:rsidRDefault="00F20BCF" w:rsidP="00966A2E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  <w:b/>
              </w:rPr>
              <w:t xml:space="preserve">Depth: </w:t>
            </w:r>
          </w:p>
          <w:p w14:paraId="77C87F82" w14:textId="77777777" w:rsidR="00555CD8" w:rsidRPr="00B417F6" w:rsidRDefault="00F20BCF" w:rsidP="00966A2E">
            <w:pPr>
              <w:widowControl w:val="0"/>
              <w:spacing w:line="240" w:lineRule="auto"/>
              <w:rPr>
                <w:rFonts w:ascii="Red Hat Text" w:hAnsi="Red Hat Text" w:cs="Red Hat Text"/>
                <w:b/>
              </w:rPr>
            </w:pPr>
            <w:r w:rsidRPr="00B417F6">
              <w:rPr>
                <w:rFonts w:ascii="Red Hat Text" w:hAnsi="Red Hat Text" w:cs="Red Hat Text"/>
              </w:rPr>
              <w:t>Identify a variety of texts, tasks, and purposes addressed across the Key Language Uses.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83" w14:textId="77777777" w:rsidR="00555CD8" w:rsidRPr="00B417F6" w:rsidRDefault="00F20BCF" w:rsidP="00966A2E">
            <w:pPr>
              <w:widowControl w:val="0"/>
              <w:numPr>
                <w:ilvl w:val="0"/>
                <w:numId w:val="1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Group units by their identified most prominent Key Language Use. </w:t>
            </w:r>
          </w:p>
          <w:p w14:paraId="77C87F84" w14:textId="66D841AE" w:rsidR="00555CD8" w:rsidRPr="00B417F6" w:rsidRDefault="00D50A23" w:rsidP="00966A2E">
            <w:pPr>
              <w:widowControl w:val="0"/>
              <w:numPr>
                <w:ilvl w:val="0"/>
                <w:numId w:val="1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>
              <w:rPr>
                <w:rFonts w:ascii="Red Hat Text" w:hAnsi="Red Hat Text" w:cs="Red Hat Text"/>
              </w:rPr>
              <w:t>Review</w:t>
            </w:r>
            <w:r w:rsidRPr="00B417F6">
              <w:rPr>
                <w:rFonts w:ascii="Red Hat Text" w:hAnsi="Red Hat Text" w:cs="Red Hat Text"/>
              </w:rPr>
              <w:t xml:space="preserve"> </w:t>
            </w:r>
            <w:r w:rsidR="00F20BCF" w:rsidRPr="00B417F6">
              <w:rPr>
                <w:rFonts w:ascii="Red Hat Text" w:hAnsi="Red Hat Text" w:cs="Red Hat Text"/>
              </w:rPr>
              <w:t>at least one recurring expressive and interpretive task per unit.</w:t>
            </w:r>
          </w:p>
          <w:p w14:paraId="77C87F85" w14:textId="77777777" w:rsidR="00555CD8" w:rsidRPr="00B417F6" w:rsidRDefault="00F20BCF" w:rsidP="00966A2E">
            <w:pPr>
              <w:widowControl w:val="0"/>
              <w:numPr>
                <w:ilvl w:val="0"/>
                <w:numId w:val="1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Identify the specific genres that students are expected to interpret and express across the units.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86" w14:textId="77777777" w:rsidR="00555CD8" w:rsidRPr="00B417F6" w:rsidRDefault="00F20BCF" w:rsidP="00966A2E">
            <w:pPr>
              <w:widowControl w:val="0"/>
              <w:numPr>
                <w:ilvl w:val="0"/>
                <w:numId w:val="5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Summative assessments</w:t>
            </w:r>
          </w:p>
          <w:p w14:paraId="77C87F87" w14:textId="77777777" w:rsidR="00555CD8" w:rsidRPr="00B417F6" w:rsidRDefault="00F20BCF" w:rsidP="00966A2E">
            <w:pPr>
              <w:widowControl w:val="0"/>
              <w:numPr>
                <w:ilvl w:val="0"/>
                <w:numId w:val="5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Recurring unit activities (a chapter in a book, lab reports, journaling, etc.)</w:t>
            </w:r>
          </w:p>
          <w:p w14:paraId="77C87F88" w14:textId="77777777" w:rsidR="00555CD8" w:rsidRPr="00B417F6" w:rsidRDefault="00F20BCF" w:rsidP="00966A2E">
            <w:pPr>
              <w:widowControl w:val="0"/>
              <w:numPr>
                <w:ilvl w:val="0"/>
                <w:numId w:val="5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Interpretive materials (readings, videos, graphs, etc.)</w:t>
            </w:r>
          </w:p>
          <w:p w14:paraId="77C87F8A" w14:textId="13F18FFF" w:rsidR="00555CD8" w:rsidRPr="001F0CAD" w:rsidRDefault="00F20BCF" w:rsidP="00966A2E">
            <w:pPr>
              <w:widowControl w:val="0"/>
              <w:numPr>
                <w:ilvl w:val="0"/>
                <w:numId w:val="5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Table 4-1 Definitions of Key Language Uses on p. 219 of </w:t>
            </w:r>
            <w:hyperlink r:id="rId7">
              <w:r w:rsidRPr="00B417F6">
                <w:rPr>
                  <w:rFonts w:ascii="Red Hat Text" w:hAnsi="Red Hat Text" w:cs="Red Hat Text"/>
                  <w:color w:val="1155CC"/>
                  <w:u w:val="single"/>
                </w:rPr>
                <w:t>WIDA ELD Standards Framework</w:t>
              </w:r>
            </w:hyperlink>
            <w:r w:rsidRPr="00B417F6">
              <w:rPr>
                <w:rFonts w:ascii="Red Hat Text" w:hAnsi="Red Hat Text" w:cs="Red Hat Text"/>
              </w:rPr>
              <w:t xml:space="preserve"> for genre examples</w:t>
            </w:r>
          </w:p>
        </w:tc>
        <w:tc>
          <w:tcPr>
            <w:tcW w:w="4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8C" w14:textId="3CC9E4E8" w:rsidR="00555CD8" w:rsidRPr="00B417F6" w:rsidRDefault="00F20BCF" w:rsidP="00966A2E">
            <w:pPr>
              <w:spacing w:after="240"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Where are </w:t>
            </w:r>
            <w:proofErr w:type="spellStart"/>
            <w:r w:rsidRPr="00B417F6">
              <w:rPr>
                <w:rFonts w:ascii="Red Hat Text" w:hAnsi="Red Hat Text" w:cs="Red Hat Text"/>
              </w:rPr>
              <w:t>there</w:t>
            </w:r>
            <w:proofErr w:type="spellEnd"/>
            <w:r w:rsidRPr="00B417F6">
              <w:rPr>
                <w:rFonts w:ascii="Red Hat Text" w:hAnsi="Red Hat Text" w:cs="Red Hat Text"/>
              </w:rPr>
              <w:t xml:space="preserve"> opportunities for students to engage in a variety of texts and tasks?</w:t>
            </w:r>
          </w:p>
          <w:p w14:paraId="77C87F8E" w14:textId="16FF31CE" w:rsidR="00555CD8" w:rsidRPr="00B417F6" w:rsidRDefault="00F20BCF" w:rsidP="00966A2E">
            <w:pPr>
              <w:spacing w:after="240"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How do the materials reveal common and unique linguistic and organizational features of each Key Language Use? </w:t>
            </w:r>
          </w:p>
          <w:p w14:paraId="77C87F8F" w14:textId="77777777" w:rsidR="00555CD8" w:rsidRPr="00B417F6" w:rsidRDefault="00F20BCF" w:rsidP="00966A2E">
            <w:pPr>
              <w:spacing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What mentor texts support the most prominent Key Language Use of each unit? </w:t>
            </w:r>
          </w:p>
        </w:tc>
      </w:tr>
      <w:tr w:rsidR="00555CD8" w:rsidRPr="00B417F6" w14:paraId="77C87FA0" w14:textId="77777777" w:rsidTr="00C72D3D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91" w14:textId="77777777" w:rsidR="00555CD8" w:rsidRPr="00B417F6" w:rsidRDefault="00F20BCF" w:rsidP="00966A2E">
            <w:pPr>
              <w:widowControl w:val="0"/>
              <w:spacing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  <w:b/>
              </w:rPr>
              <w:t>Breadth:</w:t>
            </w:r>
          </w:p>
          <w:p w14:paraId="77C87F92" w14:textId="77777777" w:rsidR="00555CD8" w:rsidRPr="00B417F6" w:rsidRDefault="00F20BCF" w:rsidP="00966A2E">
            <w:pPr>
              <w:widowControl w:val="0"/>
              <w:spacing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Identify how the Key Language Uses are systematically and consistently addressed across units.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93" w14:textId="77777777" w:rsidR="00555CD8" w:rsidRPr="00B417F6" w:rsidRDefault="00F20BCF" w:rsidP="00966A2E">
            <w:pPr>
              <w:widowControl w:val="0"/>
              <w:numPr>
                <w:ilvl w:val="0"/>
                <w:numId w:val="7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Take inventory of the most prominent Key Language Uses that have been identified across each unit. </w:t>
            </w:r>
          </w:p>
          <w:p w14:paraId="77C87F94" w14:textId="77777777" w:rsidR="00555CD8" w:rsidRPr="00B417F6" w:rsidRDefault="00F20BCF" w:rsidP="00966A2E">
            <w:pPr>
              <w:widowControl w:val="0"/>
              <w:numPr>
                <w:ilvl w:val="0"/>
                <w:numId w:val="7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Find opportunities to intentionally build on previous language development.</w:t>
            </w:r>
          </w:p>
          <w:p w14:paraId="77C87F95" w14:textId="77777777" w:rsidR="00555CD8" w:rsidRPr="00B417F6" w:rsidRDefault="00F20BCF" w:rsidP="00966A2E">
            <w:pPr>
              <w:widowControl w:val="0"/>
              <w:numPr>
                <w:ilvl w:val="0"/>
                <w:numId w:val="7"/>
              </w:numPr>
              <w:spacing w:line="240" w:lineRule="auto"/>
              <w:ind w:left="532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Ensure the curriculum addresses a variety of genres.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96" w14:textId="77777777" w:rsidR="00555CD8" w:rsidRPr="00B417F6" w:rsidRDefault="00F20BCF" w:rsidP="00966A2E">
            <w:pPr>
              <w:widowControl w:val="0"/>
              <w:numPr>
                <w:ilvl w:val="0"/>
                <w:numId w:val="3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Scope and Sequence </w:t>
            </w:r>
          </w:p>
          <w:p w14:paraId="77C87F97" w14:textId="77777777" w:rsidR="00555CD8" w:rsidRPr="00B417F6" w:rsidRDefault="00F20BCF" w:rsidP="00966A2E">
            <w:pPr>
              <w:widowControl w:val="0"/>
              <w:numPr>
                <w:ilvl w:val="0"/>
                <w:numId w:val="3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All identified most prominent Key Language Uses for each unit</w:t>
            </w:r>
          </w:p>
          <w:p w14:paraId="77C87F98" w14:textId="77777777" w:rsidR="00555CD8" w:rsidRPr="00B417F6" w:rsidRDefault="00F20BCF" w:rsidP="00966A2E">
            <w:pPr>
              <w:widowControl w:val="0"/>
              <w:numPr>
                <w:ilvl w:val="0"/>
                <w:numId w:val="3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Identified genres that will be addressed in each Key Language Use</w:t>
            </w:r>
          </w:p>
          <w:p w14:paraId="77C87F99" w14:textId="77777777" w:rsidR="00555CD8" w:rsidRPr="00B417F6" w:rsidRDefault="00F20BCF" w:rsidP="00966A2E">
            <w:pPr>
              <w:widowControl w:val="0"/>
              <w:numPr>
                <w:ilvl w:val="0"/>
                <w:numId w:val="3"/>
              </w:numPr>
              <w:spacing w:line="240" w:lineRule="auto"/>
              <w:ind w:left="583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>Previous grade-level curriculum materials for vertical alignment</w:t>
            </w:r>
          </w:p>
        </w:tc>
        <w:tc>
          <w:tcPr>
            <w:tcW w:w="4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9B" w14:textId="671534EC" w:rsidR="00555CD8" w:rsidRPr="00B417F6" w:rsidRDefault="00F20BCF" w:rsidP="00966A2E">
            <w:pPr>
              <w:spacing w:after="240"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How many times are each of the most prominent Key Language Uses addressed throughout the curriculum? </w:t>
            </w:r>
          </w:p>
          <w:p w14:paraId="77C87F9F" w14:textId="1D56985B" w:rsidR="00555CD8" w:rsidRPr="00B417F6" w:rsidRDefault="00F20BCF" w:rsidP="00966A2E">
            <w:pPr>
              <w:spacing w:after="240" w:line="240" w:lineRule="auto"/>
              <w:rPr>
                <w:rFonts w:ascii="Red Hat Text" w:hAnsi="Red Hat Text" w:cs="Red Hat Text"/>
              </w:rPr>
            </w:pPr>
            <w:r w:rsidRPr="00B417F6">
              <w:rPr>
                <w:rFonts w:ascii="Red Hat Text" w:hAnsi="Red Hat Text" w:cs="Red Hat Text"/>
              </w:rPr>
              <w:t xml:space="preserve">Looking across each Key Language Use being addressed, what genres are addressed throughout the curriculum? </w:t>
            </w:r>
          </w:p>
        </w:tc>
      </w:tr>
    </w:tbl>
    <w:p w14:paraId="44494083" w14:textId="77777777" w:rsidR="005B1FD8" w:rsidRDefault="005B1FD8">
      <w:pPr>
        <w:jc w:val="center"/>
        <w:rPr>
          <w:rFonts w:ascii="Twentieth Century" w:eastAsia="Twentieth Century" w:hAnsi="Twentieth Century" w:cs="Twentieth Century"/>
          <w:sz w:val="24"/>
          <w:szCs w:val="24"/>
        </w:rPr>
        <w:sectPr w:rsidR="005B1F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1E61FAD7" w14:textId="77777777" w:rsidR="001E597B" w:rsidRDefault="00F15023" w:rsidP="001E597B">
      <w:pPr>
        <w:keepNext/>
        <w:rPr>
          <w:rFonts w:ascii="Red Hat Display" w:hAnsi="Red Hat Display" w:cs="Red Hat Display"/>
          <w:b/>
          <w:sz w:val="28"/>
          <w:szCs w:val="28"/>
        </w:rPr>
      </w:pPr>
      <w:r>
        <w:rPr>
          <w:rFonts w:ascii="Red Hat Display" w:hAnsi="Red Hat Display" w:cs="Red Hat Display"/>
          <w:b/>
          <w:sz w:val="28"/>
          <w:szCs w:val="28"/>
        </w:rPr>
        <w:lastRenderedPageBreak/>
        <w:t>Curriculum Amplification Template: Key Language Use</w:t>
      </w:r>
      <w:r w:rsidR="006E3858">
        <w:rPr>
          <w:rFonts w:ascii="Red Hat Display" w:hAnsi="Red Hat Display" w:cs="Red Hat Display"/>
          <w:b/>
          <w:sz w:val="28"/>
          <w:szCs w:val="28"/>
        </w:rPr>
        <w:t xml:space="preserve"> (KLU)</w:t>
      </w:r>
      <w:r>
        <w:rPr>
          <w:rFonts w:ascii="Red Hat Display" w:hAnsi="Red Hat Display" w:cs="Red Hat Display"/>
          <w:b/>
          <w:sz w:val="28"/>
          <w:szCs w:val="28"/>
        </w:rPr>
        <w:t xml:space="preserve"> Alignment </w:t>
      </w:r>
    </w:p>
    <w:p w14:paraId="77C87FA3" w14:textId="5972A648" w:rsidR="00555CD8" w:rsidRPr="00B702AE" w:rsidRDefault="00D50A23">
      <w:pPr>
        <w:rPr>
          <w:rFonts w:ascii="Red Hat Display" w:eastAsia="Twentieth Century" w:hAnsi="Red Hat Display" w:cs="Red Hat Display"/>
          <w:b/>
          <w:sz w:val="24"/>
          <w:szCs w:val="24"/>
        </w:rPr>
      </w:pPr>
      <w:r>
        <w:rPr>
          <w:rFonts w:ascii="Red Hat Display" w:eastAsia="Twentieth Century" w:hAnsi="Red Hat Display" w:cs="Red Hat Display"/>
          <w:b/>
          <w:sz w:val="24"/>
          <w:szCs w:val="24"/>
        </w:rPr>
        <w:t>Class</w:t>
      </w:r>
      <w:r w:rsidR="00F20BCF" w:rsidRPr="00B702AE">
        <w:rPr>
          <w:rFonts w:ascii="Red Hat Display" w:eastAsia="Twentieth Century" w:hAnsi="Red Hat Display" w:cs="Red Hat Display"/>
          <w:b/>
          <w:sz w:val="24"/>
          <w:szCs w:val="24"/>
        </w:rPr>
        <w:t>:</w:t>
      </w:r>
    </w:p>
    <w:p w14:paraId="77C87FA4" w14:textId="77777777" w:rsidR="00555CD8" w:rsidRPr="00B702AE" w:rsidRDefault="00F20BCF">
      <w:pPr>
        <w:rPr>
          <w:rFonts w:ascii="Red Hat Display" w:eastAsia="Twentieth Century" w:hAnsi="Red Hat Display" w:cs="Red Hat Display"/>
          <w:b/>
          <w:sz w:val="24"/>
          <w:szCs w:val="24"/>
        </w:rPr>
      </w:pPr>
      <w:r w:rsidRPr="00B702AE">
        <w:rPr>
          <w:rFonts w:ascii="Red Hat Display" w:eastAsia="Twentieth Century" w:hAnsi="Red Hat Display" w:cs="Red Hat Display"/>
          <w:b/>
          <w:sz w:val="24"/>
          <w:szCs w:val="24"/>
        </w:rPr>
        <w:t>Grade Level:</w:t>
      </w:r>
    </w:p>
    <w:p w14:paraId="77C87FA5" w14:textId="77777777" w:rsidR="00555CD8" w:rsidRPr="00B702AE" w:rsidRDefault="00F20BCF">
      <w:pPr>
        <w:rPr>
          <w:rFonts w:ascii="Red Hat Display" w:eastAsia="Twentieth Century" w:hAnsi="Red Hat Display" w:cs="Red Hat Display"/>
          <w:sz w:val="24"/>
          <w:szCs w:val="24"/>
        </w:rPr>
      </w:pPr>
      <w:r w:rsidRPr="00B702AE">
        <w:rPr>
          <w:rFonts w:ascii="Red Hat Display" w:eastAsia="Twentieth Century" w:hAnsi="Red Hat Display" w:cs="Red Hat Display"/>
          <w:b/>
          <w:sz w:val="24"/>
          <w:szCs w:val="24"/>
        </w:rPr>
        <w:t>Subject:</w:t>
      </w:r>
      <w:r w:rsidRPr="00B702AE">
        <w:rPr>
          <w:rFonts w:ascii="Red Hat Display" w:eastAsia="Twentieth Century" w:hAnsi="Red Hat Display" w:cs="Red Hat Display"/>
          <w:sz w:val="24"/>
          <w:szCs w:val="24"/>
        </w:rPr>
        <w:t xml:space="preserve"> </w:t>
      </w:r>
    </w:p>
    <w:tbl>
      <w:tblPr>
        <w:tblStyle w:val="a0"/>
        <w:tblpPr w:leftFromText="180" w:rightFromText="180" w:vertAnchor="text" w:tblpY="1"/>
        <w:tblOverlap w:val="never"/>
        <w:tblW w:w="14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</w:tblPr>
      <w:tblGrid>
        <w:gridCol w:w="1790"/>
        <w:gridCol w:w="2070"/>
        <w:gridCol w:w="3780"/>
        <w:gridCol w:w="6430"/>
      </w:tblGrid>
      <w:tr w:rsidR="00555CD8" w:rsidRPr="003736DF" w14:paraId="77C87FAA" w14:textId="77777777" w:rsidTr="00BC5572">
        <w:trPr>
          <w:trHeight w:val="288"/>
        </w:trPr>
        <w:tc>
          <w:tcPr>
            <w:tcW w:w="17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A6" w14:textId="77777777" w:rsidR="00555CD8" w:rsidRPr="003736DF" w:rsidRDefault="00F20BCF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Identified KLU</w:t>
            </w:r>
          </w:p>
        </w:tc>
        <w:tc>
          <w:tcPr>
            <w:tcW w:w="2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A7" w14:textId="77777777" w:rsidR="00555CD8" w:rsidRPr="003736DF" w:rsidRDefault="00F20BCF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Unit Name or #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A8" w14:textId="77777777" w:rsidR="00555CD8" w:rsidRPr="003736DF" w:rsidRDefault="00F20BCF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Identified Genres</w:t>
            </w:r>
          </w:p>
        </w:tc>
        <w:tc>
          <w:tcPr>
            <w:tcW w:w="64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A9" w14:textId="77777777" w:rsidR="00555CD8" w:rsidRPr="003736DF" w:rsidRDefault="00F20BCF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Notes: Opportunities for Amplification</w:t>
            </w:r>
          </w:p>
        </w:tc>
      </w:tr>
      <w:tr w:rsidR="00BE1976" w:rsidRPr="00B702AE" w14:paraId="77C87FB4" w14:textId="77777777" w:rsidTr="00BE1976">
        <w:trPr>
          <w:trHeight w:val="20"/>
        </w:trPr>
        <w:tc>
          <w:tcPr>
            <w:tcW w:w="1790" w:type="dxa"/>
            <w:tcBorders>
              <w:bottom w:val="single" w:sz="4" w:space="0" w:color="C9DAF8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AB" w14:textId="77777777" w:rsidR="00BE1976" w:rsidRPr="003736DF" w:rsidRDefault="00BE1976" w:rsidP="00BC5572">
            <w:pPr>
              <w:widowControl w:val="0"/>
              <w:spacing w:line="240" w:lineRule="auto"/>
              <w:jc w:val="center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Narrate</w:t>
            </w:r>
          </w:p>
        </w:tc>
        <w:tc>
          <w:tcPr>
            <w:tcW w:w="20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A411" w14:textId="00F23D35" w:rsidR="00BE1976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>
              <w:rPr>
                <w:rFonts w:ascii="Red Hat Text" w:eastAsia="Twentieth Century" w:hAnsi="Red Hat Text" w:cs="Red Hat Text"/>
              </w:rPr>
              <w:t xml:space="preserve">(Example) </w:t>
            </w:r>
          </w:p>
          <w:p w14:paraId="77C87FAC" w14:textId="2F1DE5CD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>Unit 1: Personal Narratives</w:t>
            </w:r>
          </w:p>
        </w:tc>
        <w:tc>
          <w:tcPr>
            <w:tcW w:w="37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0685" w14:textId="601A5C5B" w:rsidR="00BE1976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>
              <w:rPr>
                <w:rFonts w:ascii="Red Hat Text" w:eastAsia="Twentieth Century" w:hAnsi="Red Hat Text" w:cs="Red Hat Text"/>
              </w:rPr>
              <w:t>(Example)</w:t>
            </w:r>
          </w:p>
          <w:p w14:paraId="77C87FAD" w14:textId="7DB68BCC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 xml:space="preserve">Expressive: </w:t>
            </w:r>
          </w:p>
          <w:p w14:paraId="77C87FAE" w14:textId="77777777" w:rsidR="00BE1976" w:rsidRPr="00B702AE" w:rsidRDefault="00BE1976" w:rsidP="00BC557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>Personal recount paragraphs</w:t>
            </w:r>
          </w:p>
          <w:p w14:paraId="77C87FAF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 xml:space="preserve">Interpretive: </w:t>
            </w:r>
          </w:p>
          <w:p w14:paraId="77C87FB0" w14:textId="77777777" w:rsidR="00BE1976" w:rsidRPr="00B702AE" w:rsidRDefault="00BE1976" w:rsidP="00BC557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>Memoir</w:t>
            </w:r>
          </w:p>
        </w:tc>
        <w:tc>
          <w:tcPr>
            <w:tcW w:w="6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7A47" w14:textId="56B20BC6" w:rsidR="00BE1976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>
              <w:rPr>
                <w:rFonts w:ascii="Red Hat Text" w:eastAsia="Twentieth Century" w:hAnsi="Red Hat Text" w:cs="Red Hat Text"/>
              </w:rPr>
              <w:t>(Example)</w:t>
            </w:r>
          </w:p>
          <w:p w14:paraId="77C87FB2" w14:textId="38BC5E26" w:rsidR="00BE1976" w:rsidRPr="00B702AE" w:rsidRDefault="00BE1976" w:rsidP="00BC5572">
            <w:pPr>
              <w:widowControl w:val="0"/>
              <w:spacing w:after="120"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>Visuals for abstract vocabulary</w:t>
            </w:r>
          </w:p>
          <w:p w14:paraId="77C87FB3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</w:rPr>
            </w:pPr>
            <w:r w:rsidRPr="00B702AE">
              <w:rPr>
                <w:rFonts w:ascii="Red Hat Text" w:eastAsia="Twentieth Century" w:hAnsi="Red Hat Text" w:cs="Red Hat Text"/>
              </w:rPr>
              <w:t>Paragraph frames for personal recounts</w:t>
            </w:r>
          </w:p>
        </w:tc>
      </w:tr>
      <w:tr w:rsidR="00BE1976" w:rsidRPr="00B702AE" w14:paraId="77C87FB9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C9DAF8"/>
              <w:bottom w:val="single" w:sz="4" w:space="0" w:color="C9DAF8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B5" w14:textId="77777777" w:rsidR="00BE1976" w:rsidRPr="003736DF" w:rsidRDefault="00BE1976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</w:rPr>
            </w:pPr>
          </w:p>
        </w:tc>
        <w:tc>
          <w:tcPr>
            <w:tcW w:w="20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B6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B7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B8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BE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C9DAF8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BA" w14:textId="77777777" w:rsidR="00BE1976" w:rsidRPr="003736DF" w:rsidRDefault="00BE1976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</w:rPr>
            </w:pPr>
          </w:p>
        </w:tc>
        <w:tc>
          <w:tcPr>
            <w:tcW w:w="20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BB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BC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BD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C3" w14:textId="77777777" w:rsidTr="00BE1976">
        <w:trPr>
          <w:trHeight w:val="20"/>
        </w:trPr>
        <w:tc>
          <w:tcPr>
            <w:tcW w:w="1790" w:type="dxa"/>
            <w:tcBorders>
              <w:bottom w:val="single" w:sz="4" w:space="0" w:color="EAD1DC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BF" w14:textId="77777777" w:rsidR="00BE1976" w:rsidRPr="003736DF" w:rsidRDefault="00BE1976" w:rsidP="00BC5572">
            <w:pPr>
              <w:widowControl w:val="0"/>
              <w:spacing w:line="240" w:lineRule="auto"/>
              <w:jc w:val="center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Inform</w:t>
            </w:r>
          </w:p>
        </w:tc>
        <w:tc>
          <w:tcPr>
            <w:tcW w:w="20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0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1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2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C8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EAD1DC"/>
              <w:bottom w:val="single" w:sz="4" w:space="0" w:color="EAD1DC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C4" w14:textId="77777777" w:rsidR="00BE1976" w:rsidRPr="003736DF" w:rsidRDefault="00BE1976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</w:rPr>
            </w:pPr>
          </w:p>
        </w:tc>
        <w:tc>
          <w:tcPr>
            <w:tcW w:w="20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5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6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7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CD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EAD1DC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C9" w14:textId="77777777" w:rsidR="00BE1976" w:rsidRPr="003736DF" w:rsidRDefault="00BE1976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</w:rPr>
            </w:pPr>
          </w:p>
        </w:tc>
        <w:tc>
          <w:tcPr>
            <w:tcW w:w="20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A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B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C" w14:textId="77777777" w:rsidR="00BE1976" w:rsidRPr="00EF52E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bCs/>
                <w:sz w:val="24"/>
                <w:szCs w:val="24"/>
              </w:rPr>
            </w:pPr>
          </w:p>
        </w:tc>
      </w:tr>
      <w:tr w:rsidR="00BE1976" w:rsidRPr="00B702AE" w14:paraId="77C87FD2" w14:textId="77777777" w:rsidTr="00BE1976">
        <w:trPr>
          <w:trHeight w:val="20"/>
        </w:trPr>
        <w:tc>
          <w:tcPr>
            <w:tcW w:w="1790" w:type="dxa"/>
            <w:tcBorders>
              <w:bottom w:val="single" w:sz="4" w:space="0" w:color="B6D7A8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CE" w14:textId="77777777" w:rsidR="00BE1976" w:rsidRPr="003736DF" w:rsidRDefault="00BE1976" w:rsidP="00BC5572">
            <w:pPr>
              <w:widowControl w:val="0"/>
              <w:spacing w:line="240" w:lineRule="auto"/>
              <w:jc w:val="center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>Argue</w:t>
            </w:r>
          </w:p>
        </w:tc>
        <w:tc>
          <w:tcPr>
            <w:tcW w:w="20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CF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0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1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D7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B6D7A8"/>
              <w:bottom w:val="single" w:sz="4" w:space="0" w:color="B6D7A8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D3" w14:textId="77777777" w:rsidR="00BE1976" w:rsidRPr="003736DF" w:rsidRDefault="00BE1976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</w:rPr>
            </w:pPr>
          </w:p>
        </w:tc>
        <w:tc>
          <w:tcPr>
            <w:tcW w:w="20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4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5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6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DC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B6D7A8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D8" w14:textId="77777777" w:rsidR="00BE1976" w:rsidRPr="003736DF" w:rsidRDefault="00BE1976" w:rsidP="00BC5572">
            <w:pPr>
              <w:widowControl w:val="0"/>
              <w:spacing w:line="240" w:lineRule="auto"/>
              <w:rPr>
                <w:rFonts w:ascii="Red Hat Display" w:eastAsia="Twentieth Century" w:hAnsi="Red Hat Display" w:cs="Red Hat Display"/>
              </w:rPr>
            </w:pPr>
          </w:p>
        </w:tc>
        <w:tc>
          <w:tcPr>
            <w:tcW w:w="20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9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A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B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E1" w14:textId="77777777" w:rsidTr="00BE1976">
        <w:trPr>
          <w:trHeight w:val="20"/>
        </w:trPr>
        <w:tc>
          <w:tcPr>
            <w:tcW w:w="1790" w:type="dxa"/>
            <w:tcBorders>
              <w:bottom w:val="single" w:sz="4" w:space="0" w:color="FFE599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DD" w14:textId="77777777" w:rsidR="00BE1976" w:rsidRPr="003736DF" w:rsidRDefault="00BE1976" w:rsidP="00BC5572">
            <w:pPr>
              <w:widowControl w:val="0"/>
              <w:spacing w:line="240" w:lineRule="auto"/>
              <w:jc w:val="center"/>
              <w:rPr>
                <w:rFonts w:ascii="Red Hat Display" w:eastAsia="Twentieth Century" w:hAnsi="Red Hat Display" w:cs="Red Hat Display"/>
                <w:b/>
              </w:rPr>
            </w:pPr>
            <w:r w:rsidRPr="003736DF">
              <w:rPr>
                <w:rFonts w:ascii="Red Hat Display" w:eastAsia="Twentieth Century" w:hAnsi="Red Hat Display" w:cs="Red Hat Display"/>
                <w:b/>
              </w:rPr>
              <w:t xml:space="preserve">Explain </w:t>
            </w:r>
          </w:p>
        </w:tc>
        <w:tc>
          <w:tcPr>
            <w:tcW w:w="20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E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DF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0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E6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FFE599"/>
              <w:bottom w:val="single" w:sz="4" w:space="0" w:color="FFE599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E2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3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4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5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  <w:tr w:rsidR="00BE1976" w:rsidRPr="00B702AE" w14:paraId="77C87FEB" w14:textId="77777777" w:rsidTr="00BE1976">
        <w:trPr>
          <w:trHeight w:val="20"/>
        </w:trPr>
        <w:tc>
          <w:tcPr>
            <w:tcW w:w="1790" w:type="dxa"/>
            <w:tcBorders>
              <w:top w:val="single" w:sz="4" w:space="0" w:color="FFE599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7FE7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8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9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  <w:tc>
          <w:tcPr>
            <w:tcW w:w="64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7FEA" w14:textId="77777777" w:rsidR="00BE1976" w:rsidRPr="00B702AE" w:rsidRDefault="00BE1976" w:rsidP="00BC5572">
            <w:pPr>
              <w:widowControl w:val="0"/>
              <w:spacing w:line="240" w:lineRule="auto"/>
              <w:rPr>
                <w:rFonts w:ascii="Red Hat Text" w:eastAsia="Twentieth Century" w:hAnsi="Red Hat Text" w:cs="Red Hat Text"/>
                <w:sz w:val="24"/>
                <w:szCs w:val="24"/>
              </w:rPr>
            </w:pPr>
          </w:p>
        </w:tc>
      </w:tr>
    </w:tbl>
    <w:p w14:paraId="77C87FEC" w14:textId="06514612" w:rsidR="00555CD8" w:rsidRDefault="00555CD8" w:rsidP="00160EE6">
      <w:pPr>
        <w:rPr>
          <w:rFonts w:ascii="Twentieth Century" w:eastAsia="Twentieth Century" w:hAnsi="Twentieth Century" w:cs="Twentieth Century"/>
          <w:sz w:val="24"/>
          <w:szCs w:val="24"/>
        </w:rPr>
      </w:pPr>
    </w:p>
    <w:sectPr w:rsidR="00555CD8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9EA7" w14:textId="77777777" w:rsidR="00C10185" w:rsidRDefault="00C10185" w:rsidP="00160EE6">
      <w:pPr>
        <w:spacing w:line="240" w:lineRule="auto"/>
      </w:pPr>
      <w:r>
        <w:separator/>
      </w:r>
    </w:p>
  </w:endnote>
  <w:endnote w:type="continuationSeparator" w:id="0">
    <w:p w14:paraId="4A2C30E6" w14:textId="77777777" w:rsidR="00C10185" w:rsidRDefault="00C10185" w:rsidP="00160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">
    <w:altName w:val="Calibri"/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Twentieth Century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BE0D" w14:textId="77777777" w:rsidR="00F07DFA" w:rsidRDefault="00F07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545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25306" w14:textId="0CE24B91" w:rsidR="00160EE6" w:rsidRDefault="00160EE6" w:rsidP="00160EE6">
        <w:pPr>
          <w:pStyle w:val="Footer"/>
          <w:jc w:val="right"/>
        </w:pPr>
        <w:r w:rsidRPr="00B25FD3">
          <w:rPr>
            <w:rFonts w:ascii="Calibri" w:hAnsi="Calibri" w:cs="Calibri"/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1477DCAE" wp14:editId="278434E1">
              <wp:simplePos x="0" y="0"/>
              <wp:positionH relativeFrom="column">
                <wp:posOffset>-158115</wp:posOffset>
              </wp:positionH>
              <wp:positionV relativeFrom="paragraph">
                <wp:posOffset>29210</wp:posOffset>
              </wp:positionV>
              <wp:extent cx="1652905" cy="509905"/>
              <wp:effectExtent l="0" t="0" r="4445" b="4445"/>
              <wp:wrapNone/>
              <wp:docPr id="448315965" name="Graphic 2" descr="The logo for WIDA at the University of Wisconsin-Madiso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8315965" name="Graphic 2" descr="The logo for WIDA at the University of Wisconsin-Madison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2905" cy="509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25FD3">
          <w:rPr>
            <w:rFonts w:ascii="Calibri" w:hAnsi="Calibri" w:cs="Calibri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14D8BE3" wp14:editId="128F88EA">
                  <wp:simplePos x="0" y="0"/>
                  <wp:positionH relativeFrom="column">
                    <wp:posOffset>1489710</wp:posOffset>
                  </wp:positionH>
                  <wp:positionV relativeFrom="paragraph">
                    <wp:posOffset>-76531</wp:posOffset>
                  </wp:positionV>
                  <wp:extent cx="4977130" cy="753110"/>
                  <wp:effectExtent l="0" t="0" r="0" b="0"/>
                  <wp:wrapNone/>
                  <wp:docPr id="1420423510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977130" cy="753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849612" w14:textId="77777777" w:rsidR="00160EE6" w:rsidRPr="0094240A" w:rsidRDefault="00160EE6" w:rsidP="00160EE6">
                              <w:pPr>
                                <w:suppressAutoHyphens/>
                                <w:rPr>
                                  <w:rFonts w:ascii="Red Hat Display" w:hAnsi="Red Hat Display" w:cs="Red Hat Display"/>
                                  <w:sz w:val="32"/>
                                  <w:szCs w:val="32"/>
                                </w:rPr>
                              </w:pPr>
                              <w:r w:rsidRPr="0094240A">
                                <w:rPr>
                                  <w:rFonts w:ascii="Red Hat Display" w:hAnsi="Red Hat Display" w:cs="Red Hat Display"/>
                                  <w:sz w:val="32"/>
                                  <w:szCs w:val="32"/>
                                </w:rPr>
                                <w:t>wida.wisc.edu</w:t>
                              </w:r>
                            </w:p>
                            <w:p w14:paraId="047DE4D8" w14:textId="77777777" w:rsidR="00160EE6" w:rsidRPr="0094240A" w:rsidRDefault="00160EE6" w:rsidP="00160EE6">
                              <w:pPr>
                                <w:spacing w:before="4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4240A">
                                <w:rPr>
                                  <w:sz w:val="15"/>
                                  <w:szCs w:val="15"/>
                                </w:rPr>
                                <w:t xml:space="preserve">WIDA is housed within the Wisconsin Center for Education Research at the University of Wisconsin-Madison. </w:t>
                              </w:r>
                              <w:r w:rsidRPr="0094240A">
                                <w:rPr>
                                  <w:sz w:val="15"/>
                                  <w:szCs w:val="15"/>
                                </w:rPr>
                                <w:br/>
                                <w:t>© 202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5 </w:t>
                              </w:r>
                              <w:r w:rsidRPr="0094240A">
                                <w:rPr>
                                  <w:sz w:val="15"/>
                                  <w:szCs w:val="15"/>
                                </w:rPr>
                                <w:t>Board of Regents of the University of Wisconsin System, on behalf of WIDA</w:t>
                              </w:r>
                            </w:p>
                            <w:p w14:paraId="6CC0DDB3" w14:textId="77777777" w:rsidR="00160EE6" w:rsidRPr="0094240A" w:rsidRDefault="00160EE6" w:rsidP="00160EE6">
                              <w:pPr>
                                <w:rPr>
                                  <w:rFonts w:cs="Red Hat Tex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14D8BE3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17.3pt;margin-top:-6.05pt;width:391.9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" filled="f" stroked="f" strokeweight=".5pt">
                  <v:textbox inset=",,.72pt">
                    <w:txbxContent>
                      <w:p w14:paraId="07849612" w14:textId="77777777" w:rsidR="00160EE6" w:rsidRPr="0094240A" w:rsidRDefault="00160EE6" w:rsidP="00160EE6">
                        <w:pPr>
                          <w:suppressAutoHyphens/>
                          <w:rPr>
                            <w:rFonts w:ascii="Red Hat Display" w:hAnsi="Red Hat Display" w:cs="Red Hat Display"/>
                            <w:sz w:val="32"/>
                            <w:szCs w:val="32"/>
                          </w:rPr>
                        </w:pPr>
                        <w:r w:rsidRPr="0094240A">
                          <w:rPr>
                            <w:rFonts w:ascii="Red Hat Display" w:hAnsi="Red Hat Display" w:cs="Red Hat Display"/>
                            <w:sz w:val="32"/>
                            <w:szCs w:val="32"/>
                          </w:rPr>
                          <w:t>wida.wisc.edu</w:t>
                        </w:r>
                      </w:p>
                      <w:p w14:paraId="047DE4D8" w14:textId="77777777" w:rsidR="00160EE6" w:rsidRPr="0094240A" w:rsidRDefault="00160EE6" w:rsidP="00160EE6">
                        <w:pPr>
                          <w:spacing w:before="40"/>
                          <w:rPr>
                            <w:sz w:val="15"/>
                            <w:szCs w:val="15"/>
                          </w:rPr>
                        </w:pPr>
                        <w:r w:rsidRPr="0094240A">
                          <w:rPr>
                            <w:sz w:val="15"/>
                            <w:szCs w:val="15"/>
                          </w:rPr>
                          <w:t xml:space="preserve">WIDA is housed within the Wisconsin Center for Education Research at the University of Wisconsin-Madison. </w:t>
                        </w:r>
                        <w:r w:rsidRPr="0094240A">
                          <w:rPr>
                            <w:sz w:val="15"/>
                            <w:szCs w:val="15"/>
                          </w:rPr>
                          <w:br/>
                          <w:t>© 202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5 </w:t>
                        </w:r>
                        <w:r w:rsidRPr="0094240A">
                          <w:rPr>
                            <w:sz w:val="15"/>
                            <w:szCs w:val="15"/>
                          </w:rPr>
                          <w:t>Board of Regents of the University of Wisconsin System, on behalf of WIDA</w:t>
                        </w:r>
                      </w:p>
                      <w:p w14:paraId="6CC0DDB3" w14:textId="77777777" w:rsidR="00160EE6" w:rsidRPr="0094240A" w:rsidRDefault="00160EE6" w:rsidP="00160EE6">
                        <w:pPr>
                          <w:rPr>
                            <w:rFonts w:cs="Red Hat Text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17A77EAF" w14:textId="77777777" w:rsidR="00160EE6" w:rsidRPr="00160EE6" w:rsidRDefault="00160EE6" w:rsidP="00160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ECF2" w14:textId="77777777" w:rsidR="00F07DFA" w:rsidRDefault="00F07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75D2" w14:textId="77777777" w:rsidR="00C10185" w:rsidRDefault="00C10185" w:rsidP="00160EE6">
      <w:pPr>
        <w:spacing w:line="240" w:lineRule="auto"/>
      </w:pPr>
      <w:r>
        <w:separator/>
      </w:r>
    </w:p>
  </w:footnote>
  <w:footnote w:type="continuationSeparator" w:id="0">
    <w:p w14:paraId="0C490983" w14:textId="77777777" w:rsidR="00C10185" w:rsidRDefault="00C10185" w:rsidP="00160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0253" w14:textId="77777777" w:rsidR="00F07DFA" w:rsidRDefault="00F07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258B" w14:textId="77777777" w:rsidR="00F07DFA" w:rsidRDefault="00F07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CD02" w14:textId="77777777" w:rsidR="00F07DFA" w:rsidRDefault="00F07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633"/>
    <w:multiLevelType w:val="multilevel"/>
    <w:tmpl w:val="CF822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C53C3C"/>
    <w:multiLevelType w:val="multilevel"/>
    <w:tmpl w:val="FA843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AD2168"/>
    <w:multiLevelType w:val="multilevel"/>
    <w:tmpl w:val="AA2C0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FC4C92"/>
    <w:multiLevelType w:val="multilevel"/>
    <w:tmpl w:val="6D500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CC1534"/>
    <w:multiLevelType w:val="multilevel"/>
    <w:tmpl w:val="63341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B15B48"/>
    <w:multiLevelType w:val="multilevel"/>
    <w:tmpl w:val="2E087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DF3BFE"/>
    <w:multiLevelType w:val="multilevel"/>
    <w:tmpl w:val="7408F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250438"/>
    <w:multiLevelType w:val="multilevel"/>
    <w:tmpl w:val="270A1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3343430">
    <w:abstractNumId w:val="4"/>
  </w:num>
  <w:num w:numId="2" w16cid:durableId="1793553118">
    <w:abstractNumId w:val="2"/>
  </w:num>
  <w:num w:numId="3" w16cid:durableId="1090195143">
    <w:abstractNumId w:val="7"/>
  </w:num>
  <w:num w:numId="4" w16cid:durableId="737944840">
    <w:abstractNumId w:val="5"/>
  </w:num>
  <w:num w:numId="5" w16cid:durableId="238714134">
    <w:abstractNumId w:val="3"/>
  </w:num>
  <w:num w:numId="6" w16cid:durableId="611791045">
    <w:abstractNumId w:val="0"/>
  </w:num>
  <w:num w:numId="7" w16cid:durableId="1760446282">
    <w:abstractNumId w:val="1"/>
  </w:num>
  <w:num w:numId="8" w16cid:durableId="2070838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D8"/>
    <w:rsid w:val="000154BD"/>
    <w:rsid w:val="00024616"/>
    <w:rsid w:val="000A0069"/>
    <w:rsid w:val="00160EE6"/>
    <w:rsid w:val="00191321"/>
    <w:rsid w:val="001E597B"/>
    <w:rsid w:val="001F0CAD"/>
    <w:rsid w:val="001F6EC0"/>
    <w:rsid w:val="00233791"/>
    <w:rsid w:val="003736DF"/>
    <w:rsid w:val="003F7D47"/>
    <w:rsid w:val="0040204D"/>
    <w:rsid w:val="00473EBC"/>
    <w:rsid w:val="004E01FE"/>
    <w:rsid w:val="004F7826"/>
    <w:rsid w:val="00555CD8"/>
    <w:rsid w:val="005B1FD8"/>
    <w:rsid w:val="00613464"/>
    <w:rsid w:val="006E3858"/>
    <w:rsid w:val="006F5A27"/>
    <w:rsid w:val="007E1812"/>
    <w:rsid w:val="00815D12"/>
    <w:rsid w:val="0082476B"/>
    <w:rsid w:val="008B721B"/>
    <w:rsid w:val="00961EAB"/>
    <w:rsid w:val="00966A2E"/>
    <w:rsid w:val="00996349"/>
    <w:rsid w:val="00A17B49"/>
    <w:rsid w:val="00A40E5F"/>
    <w:rsid w:val="00B417F6"/>
    <w:rsid w:val="00B63970"/>
    <w:rsid w:val="00B702AE"/>
    <w:rsid w:val="00BC5572"/>
    <w:rsid w:val="00BE1976"/>
    <w:rsid w:val="00C10185"/>
    <w:rsid w:val="00C72D3D"/>
    <w:rsid w:val="00D50A23"/>
    <w:rsid w:val="00D82ACA"/>
    <w:rsid w:val="00E844B8"/>
    <w:rsid w:val="00ED1DDE"/>
    <w:rsid w:val="00EF52EE"/>
    <w:rsid w:val="00F07DFA"/>
    <w:rsid w:val="00F15023"/>
    <w:rsid w:val="00F20BCF"/>
    <w:rsid w:val="00F92036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87F6B"/>
  <w15:docId w15:val="{13391B26-95E8-480B-A342-554E5B1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D50A2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E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E6"/>
  </w:style>
  <w:style w:type="paragraph" w:styleId="Footer">
    <w:name w:val="footer"/>
    <w:basedOn w:val="Normal"/>
    <w:link w:val="FooterChar"/>
    <w:uiPriority w:val="99"/>
    <w:unhideWhenUsed/>
    <w:rsid w:val="00160E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da.wisc.edu/resources/wida-english-language-development-standards-framework-2020-edi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K QUIGLEY</cp:lastModifiedBy>
  <cp:revision>35</cp:revision>
  <dcterms:created xsi:type="dcterms:W3CDTF">2025-04-23T16:30:00Z</dcterms:created>
  <dcterms:modified xsi:type="dcterms:W3CDTF">2025-05-06T14:37:00Z</dcterms:modified>
</cp:coreProperties>
</file>